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B869" w14:textId="77777777" w:rsidR="00F6794C" w:rsidRDefault="00F6794C" w:rsidP="00F6794C">
      <w:pPr>
        <w:spacing w:before="120" w:after="30"/>
        <w:jc w:val="center"/>
      </w:pPr>
      <w:r>
        <w:rPr>
          <w:b/>
          <w:bCs/>
          <w:color w:val="1F3864"/>
          <w:sz w:val="18"/>
          <w:szCs w:val="18"/>
        </w:rPr>
        <w:t>ATTENDEE HANDOUT</w:t>
      </w:r>
    </w:p>
    <w:p w14:paraId="39295A21" w14:textId="77777777" w:rsidR="00F6794C" w:rsidRDefault="00F6794C" w:rsidP="00F6794C">
      <w:pPr>
        <w:spacing w:after="30"/>
        <w:jc w:val="center"/>
      </w:pPr>
      <w:r>
        <w:rPr>
          <w:b/>
          <w:bCs/>
          <w:color w:val="1F3864"/>
          <w:sz w:val="44"/>
          <w:szCs w:val="44"/>
        </w:rPr>
        <w:t>Pulling Back the Curtain</w:t>
      </w:r>
    </w:p>
    <w:p w14:paraId="0273707F" w14:textId="77777777" w:rsidR="00F6794C" w:rsidRDefault="00F6794C" w:rsidP="00F6794C">
      <w:pPr>
        <w:spacing w:after="200"/>
        <w:jc w:val="center"/>
      </w:pPr>
      <w:r>
        <w:rPr>
          <w:color w:val="595959"/>
          <w:sz w:val="26"/>
          <w:szCs w:val="26"/>
        </w:rPr>
        <w:t>What It Really Takes to Sustain a Textbook Authoring Career</w:t>
      </w:r>
    </w:p>
    <w:p w14:paraId="21AF56B6" w14:textId="77777777" w:rsidR="00F6794C" w:rsidRDefault="00F6794C" w:rsidP="00F6794C">
      <w:pPr>
        <w:spacing w:after="20"/>
        <w:jc w:val="center"/>
      </w:pPr>
      <w:r>
        <w:rPr>
          <w:b/>
          <w:bCs/>
          <w:sz w:val="22"/>
          <w:szCs w:val="22"/>
        </w:rPr>
        <w:t>Wendy Tietz, PhD, CPA, CGMA, CITP, CMA, CSCA   |   Tracie Miller, PhD, CPA</w:t>
      </w:r>
    </w:p>
    <w:p w14:paraId="5E9E3BCA" w14:textId="77777777" w:rsidR="00F6794C" w:rsidRDefault="00F6794C" w:rsidP="00F6794C">
      <w:pPr>
        <w:spacing w:after="20"/>
        <w:jc w:val="center"/>
      </w:pPr>
      <w:r>
        <w:rPr>
          <w:color w:val="595959"/>
          <w:sz w:val="20"/>
          <w:szCs w:val="20"/>
        </w:rPr>
        <w:t>Veteran Textbook Author Learning Lab</w:t>
      </w:r>
    </w:p>
    <w:p w14:paraId="7768A3A6" w14:textId="77777777" w:rsidR="00F6794C" w:rsidRDefault="00F6794C" w:rsidP="00F6794C">
      <w:pPr>
        <w:pBdr>
          <w:bottom w:val="single" w:sz="12" w:space="8" w:color="1F3864"/>
        </w:pBdr>
        <w:spacing w:after="240"/>
        <w:jc w:val="center"/>
      </w:pPr>
      <w:r>
        <w:rPr>
          <w:color w:val="595959"/>
          <w:sz w:val="18"/>
          <w:szCs w:val="18"/>
        </w:rPr>
        <w:t xml:space="preserve">2026 TAA Institute for Textbook &amp; Academic Authors   •   June 13, </w:t>
      </w:r>
      <w:proofErr w:type="gramStart"/>
      <w:r>
        <w:rPr>
          <w:color w:val="595959"/>
          <w:sz w:val="18"/>
          <w:szCs w:val="18"/>
        </w:rPr>
        <w:t>2026</w:t>
      </w:r>
      <w:proofErr w:type="gramEnd"/>
      <w:r>
        <w:rPr>
          <w:color w:val="595959"/>
          <w:sz w:val="18"/>
          <w:szCs w:val="18"/>
        </w:rPr>
        <w:t xml:space="preserve">   •   taaonline.net</w:t>
      </w:r>
    </w:p>
    <w:p w14:paraId="045B0D65" w14:textId="77777777" w:rsidR="00F6794C" w:rsidRDefault="00F6794C" w:rsidP="00F6794C">
      <w:pPr>
        <w:pStyle w:val="Heading1"/>
      </w:pPr>
      <w:r>
        <w:t>Connect with Other Authors</w:t>
      </w:r>
    </w:p>
    <w:p w14:paraId="341D995C" w14:textId="77777777" w:rsidR="00F6794C" w:rsidRDefault="00F6794C" w:rsidP="00F6794C">
      <w:pPr>
        <w:spacing w:after="120" w:line="264" w:lineRule="auto"/>
      </w:pPr>
      <w:r>
        <w:t>Take a minute right now to add a card to our networking Padlet, so we can connect during the session and stay in touch afterward.</w:t>
      </w:r>
    </w:p>
    <w:p w14:paraId="6E9124B4" w14:textId="77777777" w:rsidR="00F6794C" w:rsidRDefault="00F6794C" w:rsidP="00F6794C">
      <w:pPr>
        <w:spacing w:after="60" w:line="264" w:lineRule="auto"/>
      </w:pPr>
      <w:r>
        <w:t>On your card, include:</w:t>
      </w:r>
    </w:p>
    <w:p w14:paraId="5139F5C4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Your name</w:t>
      </w:r>
    </w:p>
    <w:p w14:paraId="37963B18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Your institution</w:t>
      </w:r>
    </w:p>
    <w:p w14:paraId="1965C7DC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Your discipline</w:t>
      </w:r>
    </w:p>
    <w:p w14:paraId="70B108FA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Your current book or project</w:t>
      </w:r>
    </w:p>
    <w:p w14:paraId="52B258A7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The best way to reach you</w:t>
      </w:r>
    </w:p>
    <w:p w14:paraId="1EFFE5FF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One thing you would love to compare notes with another author about</w:t>
      </w:r>
    </w:p>
    <w:p w14:paraId="5A272D9E" w14:textId="77777777" w:rsidR="00F6794C" w:rsidRDefault="00F6794C" w:rsidP="00F6794C">
      <w:pPr>
        <w:spacing w:before="60" w:after="120" w:line="264" w:lineRule="auto"/>
      </w:pPr>
      <w:r>
        <w:rPr>
          <w:b/>
          <w:bCs/>
        </w:rPr>
        <w:t xml:space="preserve">That last item is the important one. </w:t>
      </w:r>
      <w:r>
        <w:t>It gives other authors a specific reason to reach out to you.</w:t>
      </w:r>
    </w:p>
    <w:p w14:paraId="2C0DF944" w14:textId="77777777" w:rsidR="00F6794C" w:rsidRDefault="00F6794C" w:rsidP="00F6794C">
      <w:pPr>
        <w:spacing w:after="120" w:line="264" w:lineRule="auto"/>
      </w:pPr>
      <w:r>
        <w:rPr>
          <w:b/>
          <w:bCs/>
        </w:rPr>
        <w:t xml:space="preserve">Add your card here: </w:t>
      </w:r>
      <w:hyperlink r:id="rId5" w:history="1">
        <w:r>
          <w:rPr>
            <w:rStyle w:val="Hyperlink"/>
          </w:rPr>
          <w:t>https://padlet.com/wtietz/networking-for-textbook-authors-4ztdvhg1svvd4kyp</w:t>
        </w:r>
      </w:hyperlink>
    </w:p>
    <w:p w14:paraId="08F10B86" w14:textId="77777777" w:rsidR="00C80AE0" w:rsidRDefault="00C80AE0" w:rsidP="00F6794C">
      <w:pPr>
        <w:spacing w:after="120" w:line="264" w:lineRule="auto"/>
      </w:pPr>
    </w:p>
    <w:p w14:paraId="2F206AA3" w14:textId="77777777" w:rsidR="00F6794C" w:rsidRDefault="00F6794C" w:rsidP="00F6794C">
      <w:pPr>
        <w:pStyle w:val="Heading2"/>
      </w:pPr>
      <w:r>
        <w:t>What We Cover Today</w:t>
      </w:r>
    </w:p>
    <w:p w14:paraId="09A7CD41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Section 1: Revision Planning</w:t>
      </w:r>
    </w:p>
    <w:p w14:paraId="0579E885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Section 2: Coauthors &amp; Editors</w:t>
      </w:r>
    </w:p>
    <w:p w14:paraId="30D9E8BF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Section 3: Longevity &amp; Well-Being</w:t>
      </w:r>
    </w:p>
    <w:p w14:paraId="32C2A43B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Section 4: Beyond the Textbook</w:t>
      </w:r>
    </w:p>
    <w:p w14:paraId="702331CA" w14:textId="77777777" w:rsidR="00F6794C" w:rsidRDefault="00F6794C" w:rsidP="00F6794C">
      <w:pPr>
        <w:rPr>
          <w:b/>
          <w:bCs/>
          <w:color w:val="1F3864"/>
          <w:sz w:val="30"/>
          <w:szCs w:val="30"/>
        </w:rPr>
      </w:pPr>
      <w:r>
        <w:br w:type="page"/>
      </w:r>
    </w:p>
    <w:p w14:paraId="113A01BB" w14:textId="77777777" w:rsidR="00F6794C" w:rsidRDefault="00F6794C" w:rsidP="00F6794C">
      <w:pPr>
        <w:pStyle w:val="Heading1"/>
      </w:pPr>
      <w:r>
        <w:lastRenderedPageBreak/>
        <w:t>Section 1: Revision Planning</w:t>
      </w:r>
    </w:p>
    <w:p w14:paraId="79611369" w14:textId="77777777" w:rsidR="00F6794C" w:rsidRDefault="00F6794C" w:rsidP="00F6794C">
      <w:pPr>
        <w:pStyle w:val="Heading2"/>
      </w:pPr>
      <w:r>
        <w:t>What “Having a Story” Means</w:t>
      </w:r>
    </w:p>
    <w:p w14:paraId="1C3290FE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A unifying theme that explains why this edition is different, in a way you can communicate to your editor, reviewers, and the market.</w:t>
      </w:r>
    </w:p>
    <w:p w14:paraId="5AF11ED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The story also helps you decide what not to change.</w:t>
      </w:r>
    </w:p>
    <w:p w14:paraId="6F38EB47" w14:textId="77777777" w:rsidR="00F6794C" w:rsidRDefault="00F6794C" w:rsidP="00F6794C">
      <w:pPr>
        <w:pStyle w:val="Heading2"/>
      </w:pPr>
      <w:r>
        <w:t>Plan the Next Edition During This One</w:t>
      </w:r>
    </w:p>
    <w:p w14:paraId="75A70670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Keep a “next edition” running document open all year for reviewer ideas, competitor moves, and conference takeaways.</w:t>
      </w:r>
    </w:p>
    <w:p w14:paraId="23AEFC70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Mark confusing passages while you are teaching, in the moment, not later.</w:t>
      </w:r>
    </w:p>
    <w:p w14:paraId="0B17110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Review your notes at the start of revision planning. Most of the story is already there.</w:t>
      </w:r>
    </w:p>
    <w:p w14:paraId="0EF435AC" w14:textId="77777777" w:rsidR="00F6794C" w:rsidRDefault="00F6794C" w:rsidP="00F6794C">
      <w:pPr>
        <w:pStyle w:val="Heading2"/>
      </w:pPr>
      <w:r>
        <w:t>Reviewer Reports and Market Data</w:t>
      </w:r>
    </w:p>
    <w:p w14:paraId="49BBC6F3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Patterns across multiple reviewers are a signal worth acting on. One strong opinion is not.</w:t>
      </w:r>
    </w:p>
    <w:p w14:paraId="43CC2C5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Look for what reviewers mention first. That is usually the biggest pain point.</w:t>
      </w:r>
    </w:p>
    <w:p w14:paraId="0ACE2488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Ask your editor directly what you are losing adoptions </w:t>
      </w:r>
      <w:proofErr w:type="gramStart"/>
      <w:r>
        <w:t>over, and</w:t>
      </w:r>
      <w:proofErr w:type="gramEnd"/>
      <w:r>
        <w:t xml:space="preserve"> request competitive analysis reports.</w:t>
      </w:r>
    </w:p>
    <w:p w14:paraId="215C32DA" w14:textId="77777777" w:rsidR="00F6794C" w:rsidRDefault="00F6794C" w:rsidP="00F6794C">
      <w:pPr>
        <w:pStyle w:val="Heading2"/>
      </w:pPr>
      <w:r>
        <w:t>The Shift to Evergreen Revisions</w:t>
      </w:r>
    </w:p>
    <w:p w14:paraId="6917869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Publishers increasingly prefer smaller, continuous updates over large new editions.</w:t>
      </w:r>
    </w:p>
    <w:p w14:paraId="469283C7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Negotiate how evergreen work is scoped, scheduled, and paid before you agree, and put recognition and royalty terms in writing.</w:t>
      </w:r>
    </w:p>
    <w:p w14:paraId="7DD642FB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Set boundaries so a rolling model does not become always-on work.</w:t>
      </w:r>
    </w:p>
    <w:p w14:paraId="1FD48149" w14:textId="77777777" w:rsidR="00F6794C" w:rsidRDefault="00F6794C" w:rsidP="00F6794C">
      <w:pPr>
        <w:pStyle w:val="Heading2"/>
      </w:pPr>
      <w:r>
        <w:t>Staying Relevant in the Age of OER</w:t>
      </w:r>
    </w:p>
    <w:p w14:paraId="367088CA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OER raises the bar. A paid text </w:t>
      </w:r>
      <w:proofErr w:type="gramStart"/>
      <w:r>
        <w:t>has to</w:t>
      </w:r>
      <w:proofErr w:type="gramEnd"/>
      <w:r>
        <w:t xml:space="preserve"> clearly earn its price.</w:t>
      </w:r>
    </w:p>
    <w:p w14:paraId="163C7AD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Lead with what OER rarely delivers: cohesion, currency, support, and strong assessment.</w:t>
      </w:r>
    </w:p>
    <w:p w14:paraId="29421CB8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Currency is your edge. Timely examples and current standards age out of static OER.</w:t>
      </w:r>
    </w:p>
    <w:p w14:paraId="68548DAB" w14:textId="77777777" w:rsidR="00F6794C" w:rsidRDefault="00F6794C" w:rsidP="00F6794C">
      <w:pPr>
        <w:pStyle w:val="Heading2"/>
      </w:pPr>
      <w:r>
        <w:t>Teaching Your Own Book</w:t>
      </w:r>
    </w:p>
    <w:p w14:paraId="0ECBB643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Teaching the book shows you in real time what confuses students and what they skip.</w:t>
      </w:r>
    </w:p>
    <w:p w14:paraId="381BD35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It builds credibility with adopters: “I use this in my own 300-person section.”</w:t>
      </w:r>
    </w:p>
    <w:p w14:paraId="1E87E137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Annotate your copy as you </w:t>
      </w:r>
      <w:proofErr w:type="gramStart"/>
      <w:r>
        <w:t>teach, and</w:t>
      </w:r>
      <w:proofErr w:type="gramEnd"/>
      <w:r>
        <w:t xml:space="preserve"> keep a document for student-sourced revision ideas.</w:t>
      </w:r>
    </w:p>
    <w:p w14:paraId="5DD7B353" w14:textId="77777777" w:rsidR="00F6794C" w:rsidRDefault="00F6794C" w:rsidP="00F6794C">
      <w:pPr>
        <w:pStyle w:val="Heading2"/>
      </w:pPr>
      <w:r>
        <w:t>Using Conferences for Inspiration</w:t>
      </w:r>
    </w:p>
    <w:p w14:paraId="370767C5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Look adjacent, not just at sessions on your exact topic, and talk to faculty from different institution types.</w:t>
      </w:r>
    </w:p>
    <w:p w14:paraId="3224CAA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Connect observations back to specific chapters while the ideas are fresh.</w:t>
      </w:r>
    </w:p>
    <w:p w14:paraId="487E6911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Look for consistency. Is the same gap showing up at multiple conferences?</w:t>
      </w:r>
    </w:p>
    <w:p w14:paraId="34917E34" w14:textId="77777777" w:rsidR="00F6794C" w:rsidRDefault="00F6794C" w:rsidP="00F6794C">
      <w:pPr>
        <w:rPr>
          <w:b/>
          <w:bCs/>
          <w:color w:val="1F3864"/>
          <w:sz w:val="30"/>
          <w:szCs w:val="30"/>
        </w:rPr>
      </w:pPr>
      <w:r>
        <w:br w:type="page"/>
      </w:r>
    </w:p>
    <w:p w14:paraId="4CA3603D" w14:textId="77777777" w:rsidR="00F6794C" w:rsidRDefault="00F6794C" w:rsidP="00F6794C">
      <w:pPr>
        <w:pStyle w:val="Heading1"/>
      </w:pPr>
      <w:r>
        <w:lastRenderedPageBreak/>
        <w:t>Section 2: Coauthors &amp; Editors</w:t>
      </w:r>
    </w:p>
    <w:p w14:paraId="32AFEBB6" w14:textId="77777777" w:rsidR="00F6794C" w:rsidRDefault="00F6794C" w:rsidP="00F6794C">
      <w:pPr>
        <w:pStyle w:val="Heading2"/>
      </w:pPr>
      <w:r>
        <w:t>What Makes a Coauthor Relationship Work</w:t>
      </w:r>
    </w:p>
    <w:p w14:paraId="21F2800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Aligned values about quality. What counts as “good enough” </w:t>
      </w:r>
      <w:proofErr w:type="gramStart"/>
      <w:r>
        <w:t>has to</w:t>
      </w:r>
      <w:proofErr w:type="gramEnd"/>
      <w:r>
        <w:t xml:space="preserve"> match.</w:t>
      </w:r>
    </w:p>
    <w:p w14:paraId="6F258CD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Explicit, written agreements about division of labor, with regular check-ins during production.</w:t>
      </w:r>
    </w:p>
    <w:p w14:paraId="0E99E6B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Grace. You will each have a year where you carry more of the load.</w:t>
      </w:r>
    </w:p>
    <w:p w14:paraId="4134814D" w14:textId="77777777" w:rsidR="00F6794C" w:rsidRDefault="00F6794C" w:rsidP="00F6794C">
      <w:pPr>
        <w:pStyle w:val="Heading2"/>
      </w:pPr>
      <w:r>
        <w:t>Handling Disagreements Professionally</w:t>
      </w:r>
    </w:p>
    <w:p w14:paraId="16512EC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rPr>
          <w:b/>
          <w:bCs/>
        </w:rPr>
        <w:t xml:space="preserve">Disagree and commit. </w:t>
      </w:r>
      <w:r>
        <w:t>You can object, still deliver, and document it for next edition.</w:t>
      </w:r>
    </w:p>
    <w:p w14:paraId="437B7C67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rPr>
          <w:b/>
          <w:bCs/>
        </w:rPr>
        <w:t xml:space="preserve">Pick your </w:t>
      </w:r>
      <w:proofErr w:type="gramStart"/>
      <w:r>
        <w:rPr>
          <w:b/>
          <w:bCs/>
        </w:rPr>
        <w:t>hills, and</w:t>
      </w:r>
      <w:proofErr w:type="gramEnd"/>
      <w:r>
        <w:rPr>
          <w:b/>
          <w:bCs/>
        </w:rPr>
        <w:t xml:space="preserve"> bring data. </w:t>
      </w:r>
      <w:r>
        <w:t>Reviewer comments and student results outweigh preference.</w:t>
      </w:r>
    </w:p>
    <w:p w14:paraId="7360508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When genuinely in doubt, let the instructor-adopter be the tiebreaker.</w:t>
      </w:r>
    </w:p>
    <w:p w14:paraId="50FE7ECC" w14:textId="77777777" w:rsidR="00F6794C" w:rsidRDefault="00F6794C" w:rsidP="00F6794C">
      <w:pPr>
        <w:pStyle w:val="Heading2"/>
      </w:pPr>
      <w:r>
        <w:t>Working Through Editor Turnover</w:t>
      </w:r>
    </w:p>
    <w:p w14:paraId="4E5328A8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Editors change often. Your relationship with a specific editor is temporary; with the publisher it is not.</w:t>
      </w:r>
    </w:p>
    <w:p w14:paraId="674B98FC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Keep a “book history” document you can hand any new editor, since institutional memory lives with you.</w:t>
      </w:r>
    </w:p>
    <w:p w14:paraId="5A38E13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When you disagree, come in with data and ask what problem the change solves for adopters.</w:t>
      </w:r>
    </w:p>
    <w:p w14:paraId="53253434" w14:textId="77777777" w:rsidR="00F6794C" w:rsidRDefault="00F6794C" w:rsidP="00F6794C">
      <w:pPr>
        <w:pStyle w:val="Heading2"/>
      </w:pPr>
      <w:r>
        <w:t>Succession Planning</w:t>
      </w:r>
    </w:p>
    <w:p w14:paraId="55508954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Publishers think about succession whether you do or not. The best time to plan is before you need to.</w:t>
      </w:r>
    </w:p>
    <w:p w14:paraId="0DB13E93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Start a successor with a limited engagement, then give feedback generously.</w:t>
      </w:r>
    </w:p>
    <w:p w14:paraId="63BA45D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Protect the book’s voice with a style </w:t>
      </w:r>
      <w:proofErr w:type="gramStart"/>
      <w:r>
        <w:t>guide, and</w:t>
      </w:r>
      <w:proofErr w:type="gramEnd"/>
      <w:r>
        <w:t xml:space="preserve"> document your revision decision logic.</w:t>
      </w:r>
    </w:p>
    <w:p w14:paraId="7C1580DF" w14:textId="77777777" w:rsidR="00F6794C" w:rsidRDefault="00F6794C" w:rsidP="00F6794C">
      <w:pPr>
        <w:rPr>
          <w:b/>
          <w:bCs/>
          <w:color w:val="1F3864"/>
          <w:sz w:val="30"/>
          <w:szCs w:val="30"/>
        </w:rPr>
      </w:pPr>
      <w:r>
        <w:br w:type="page"/>
      </w:r>
    </w:p>
    <w:p w14:paraId="5FFDE751" w14:textId="77777777" w:rsidR="00F6794C" w:rsidRDefault="00F6794C" w:rsidP="00F6794C">
      <w:pPr>
        <w:pStyle w:val="Heading1"/>
      </w:pPr>
      <w:r>
        <w:lastRenderedPageBreak/>
        <w:t>Section 3: Longevity &amp; Well-Being</w:t>
      </w:r>
    </w:p>
    <w:p w14:paraId="2A9FF574" w14:textId="77777777" w:rsidR="00F6794C" w:rsidRDefault="00F6794C" w:rsidP="00F6794C">
      <w:pPr>
        <w:pStyle w:val="Heading2"/>
      </w:pPr>
      <w:r>
        <w:t>The Production Calendar</w:t>
      </w:r>
    </w:p>
    <w:p w14:paraId="5598339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Work backward from publisher deadlines and block buffer time that </w:t>
      </w:r>
      <w:proofErr w:type="gramStart"/>
      <w:r>
        <w:t>actually holds</w:t>
      </w:r>
      <w:proofErr w:type="gramEnd"/>
      <w:r>
        <w:t>.</w:t>
      </w:r>
    </w:p>
    <w:p w14:paraId="4B00EB05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Account for hidden costs: permissions clearance, author corrections, index review, and page proofs.</w:t>
      </w:r>
    </w:p>
    <w:p w14:paraId="7D45089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Schedule heavier chapters earlier. Energy is not constant.</w:t>
      </w:r>
    </w:p>
    <w:p w14:paraId="5C685B28" w14:textId="77777777" w:rsidR="00F6794C" w:rsidRDefault="00F6794C" w:rsidP="00F6794C">
      <w:pPr>
        <w:pStyle w:val="Heading2"/>
      </w:pPr>
      <w:r>
        <w:t>Working with an Assistant</w:t>
      </w:r>
    </w:p>
    <w:p w14:paraId="2A7DEB91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Delegate permissions research, art log updates, correspondence tracking, and formatting passes.</w:t>
      </w:r>
    </w:p>
    <w:p w14:paraId="3BC2F1F1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The return is significant. Your time is worth more than it feels like.</w:t>
      </w:r>
    </w:p>
    <w:p w14:paraId="40C88357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“It takes more time to explain than to do it myself” is true once, not the fifteenth time.</w:t>
      </w:r>
    </w:p>
    <w:p w14:paraId="676383CF" w14:textId="77777777" w:rsidR="00F6794C" w:rsidRDefault="00F6794C" w:rsidP="00F6794C">
      <w:pPr>
        <w:pStyle w:val="Heading2"/>
      </w:pPr>
      <w:r>
        <w:t>Staying Current and Connected</w:t>
      </w:r>
    </w:p>
    <w:p w14:paraId="6FC488EB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Invest deeply in a few associations rather than thinly in many: TAA, AAA, AICPA, IMA.</w:t>
      </w:r>
    </w:p>
    <w:p w14:paraId="61C58EB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Build a small circle of peer authors you can be candid with about the work.</w:t>
      </w:r>
    </w:p>
    <w:p w14:paraId="7300D95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Follow up after you meet someone. A connection you never revisit is not a network.</w:t>
      </w:r>
    </w:p>
    <w:p w14:paraId="029E0CA3" w14:textId="77777777" w:rsidR="00F6794C" w:rsidRDefault="00F6794C" w:rsidP="00F6794C">
      <w:pPr>
        <w:pStyle w:val="Heading2"/>
      </w:pPr>
      <w:r>
        <w:t>AI as a Drafting and Ideation Partner</w:t>
      </w:r>
    </w:p>
    <w:p w14:paraId="045787C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Use AI to accelerate iteration: first-draft questions, research, chapter openers, and example variations.</w:t>
      </w:r>
    </w:p>
    <w:p w14:paraId="2D00D0D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It does not replace your expertise or voice.</w:t>
      </w:r>
    </w:p>
    <w:p w14:paraId="13586FA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Verify every factual claim. In accounting, the review step is not optional.</w:t>
      </w:r>
    </w:p>
    <w:p w14:paraId="42C06D64" w14:textId="77777777" w:rsidR="00F6794C" w:rsidRDefault="00F6794C" w:rsidP="00F6794C">
      <w:pPr>
        <w:rPr>
          <w:b/>
          <w:bCs/>
          <w:color w:val="1F3864"/>
          <w:sz w:val="30"/>
          <w:szCs w:val="30"/>
        </w:rPr>
      </w:pPr>
      <w:r>
        <w:br w:type="page"/>
      </w:r>
    </w:p>
    <w:p w14:paraId="6B315FFE" w14:textId="77777777" w:rsidR="00F6794C" w:rsidRDefault="00F6794C" w:rsidP="00F6794C">
      <w:pPr>
        <w:pStyle w:val="Heading1"/>
      </w:pPr>
      <w:r>
        <w:lastRenderedPageBreak/>
        <w:t>Section 4: Beyond the Textbook</w:t>
      </w:r>
    </w:p>
    <w:p w14:paraId="603C8084" w14:textId="77777777" w:rsidR="00F6794C" w:rsidRDefault="00F6794C" w:rsidP="00F6794C">
      <w:pPr>
        <w:pStyle w:val="Heading2"/>
      </w:pPr>
      <w:r>
        <w:t>Why Platform Matters</w:t>
      </w:r>
    </w:p>
    <w:p w14:paraId="0C1B41D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Royalties alone do not sustain a long career. A platform widens the foundation and builds credibility that drives adoptions.</w:t>
      </w:r>
    </w:p>
    <w:p w14:paraId="0CBA831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Different kinds of work prevent burnout, and </w:t>
      </w:r>
      <w:proofErr w:type="gramStart"/>
      <w:r>
        <w:t>the relationships</w:t>
      </w:r>
      <w:proofErr w:type="gramEnd"/>
      <w:r>
        <w:t xml:space="preserve"> outlast any single edition.</w:t>
      </w:r>
    </w:p>
    <w:p w14:paraId="6A42FD76" w14:textId="77777777" w:rsidR="00F6794C" w:rsidRDefault="00F6794C" w:rsidP="00F6794C">
      <w:pPr>
        <w:pStyle w:val="Heading2"/>
      </w:pPr>
      <w:r>
        <w:t>What a Platform Can Look Like</w:t>
      </w:r>
    </w:p>
    <w:p w14:paraId="2702935A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Service and </w:t>
      </w:r>
      <w:proofErr w:type="gramStart"/>
      <w:r>
        <w:t>speaking:</w:t>
      </w:r>
      <w:proofErr w:type="gramEnd"/>
      <w:r>
        <w:t xml:space="preserve"> association leadership, committee work, conference talks, workshops, and mentoring.</w:t>
      </w:r>
    </w:p>
    <w:p w14:paraId="28DBA45C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Writing and content: CPE webinars, a blog or newsletter, and adjacent books or workbooks.</w:t>
      </w:r>
    </w:p>
    <w:p w14:paraId="0D3D2DE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This is a menu, not a checklist. Pick what fits your strengths and energy.</w:t>
      </w:r>
    </w:p>
    <w:p w14:paraId="7F16872D" w14:textId="77777777" w:rsidR="00F6794C" w:rsidRDefault="00F6794C" w:rsidP="00F6794C">
      <w:pPr>
        <w:pStyle w:val="Heading2"/>
      </w:pPr>
      <w:r>
        <w:t>How Platform and Textbook Feed Each Other</w:t>
      </w:r>
    </w:p>
    <w:p w14:paraId="1E4CB32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Visibility creates adoption opportunities, and the textbook gives you authority that opens doors.</w:t>
      </w:r>
    </w:p>
    <w:p w14:paraId="7F817E8F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Audience questions reveal where the text can improve, and content from one channel repurposes into another.</w:t>
      </w:r>
    </w:p>
    <w:p w14:paraId="25E13846" w14:textId="77777777" w:rsidR="00F6794C" w:rsidRDefault="00F6794C" w:rsidP="00F6794C">
      <w:pPr>
        <w:pStyle w:val="Heading2"/>
      </w:pPr>
      <w:r>
        <w:t>Marketing and Publisher Support</w:t>
      </w:r>
    </w:p>
    <w:p w14:paraId="4C38A6E0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Stay visible and make adoption easy with ready sample chapters and fast, helpful replies.</w:t>
      </w:r>
    </w:p>
    <w:p w14:paraId="3466CA3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When publisher support is thin, own the gap and keep your rights and reversion terms in view.</w:t>
      </w:r>
    </w:p>
    <w:p w14:paraId="6668C74B" w14:textId="77777777" w:rsidR="00F6794C" w:rsidRDefault="00F6794C" w:rsidP="00F6794C">
      <w:pPr>
        <w:pStyle w:val="Heading2"/>
      </w:pPr>
      <w:r>
        <w:t>Building Without Burning Out</w:t>
      </w:r>
    </w:p>
    <w:p w14:paraId="5CB2793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Pick one or two activities that fit your </w:t>
      </w:r>
      <w:proofErr w:type="gramStart"/>
      <w:r>
        <w:t>strengths, and</w:t>
      </w:r>
      <w:proofErr w:type="gramEnd"/>
      <w:r>
        <w:t xml:space="preserve"> say no often.</w:t>
      </w:r>
    </w:p>
    <w:p w14:paraId="45E1EFB4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Repurpose content across channels: a talk becomes a blog post becomes a webinar.</w:t>
      </w:r>
    </w:p>
    <w:p w14:paraId="07B59E5E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Step back from long-running commitments when their season for you has passed.</w:t>
      </w:r>
    </w:p>
    <w:p w14:paraId="5D8924AF" w14:textId="77777777" w:rsidR="00F6794C" w:rsidRDefault="00F6794C" w:rsidP="00F6794C">
      <w:pPr>
        <w:pStyle w:val="Heading1"/>
      </w:pPr>
      <w:r>
        <w:t>Key Takeaways</w:t>
      </w:r>
    </w:p>
    <w:p w14:paraId="715131AD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 xml:space="preserve">Protect your production </w:t>
      </w:r>
      <w:proofErr w:type="gramStart"/>
      <w:r>
        <w:t>calendar, and</w:t>
      </w:r>
      <w:proofErr w:type="gramEnd"/>
      <w:r>
        <w:t xml:space="preserve"> plan for the hidden time costs.</w:t>
      </w:r>
    </w:p>
    <w:p w14:paraId="52EBAD76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Delegation is a productivity tool, not a luxury.</w:t>
      </w:r>
    </w:p>
    <w:p w14:paraId="366A6C3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Continued learning keeps long careers energized.</w:t>
      </w:r>
    </w:p>
    <w:p w14:paraId="2BC59C52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AI accelerates the work. Your expertise validates it.</w:t>
      </w:r>
    </w:p>
    <w:p w14:paraId="570ACDAE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t>Build a platform beyond the textbook. It is what sustains a long career.</w:t>
      </w:r>
    </w:p>
    <w:p w14:paraId="54816886" w14:textId="77777777" w:rsidR="00F6794C" w:rsidRDefault="00F6794C" w:rsidP="00F6794C">
      <w:pPr>
        <w:pStyle w:val="Heading1"/>
      </w:pPr>
      <w:r>
        <w:t>Stay in Touch</w:t>
      </w:r>
    </w:p>
    <w:p w14:paraId="0393AE21" w14:textId="77777777" w:rsidR="00F6794C" w:rsidRDefault="00F6794C" w:rsidP="00F6794C">
      <w:pPr>
        <w:spacing w:after="120" w:line="264" w:lineRule="auto"/>
      </w:pPr>
      <w:r>
        <w:t xml:space="preserve">We would love to hear from you. Reach out </w:t>
      </w:r>
      <w:proofErr w:type="gramStart"/>
      <w:r>
        <w:t>anytime, and</w:t>
      </w:r>
      <w:proofErr w:type="gramEnd"/>
      <w:r>
        <w:t xml:space="preserve"> connect with other authors on our networking Padlet.</w:t>
      </w:r>
    </w:p>
    <w:p w14:paraId="538BEC79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rPr>
          <w:b/>
          <w:bCs/>
        </w:rPr>
        <w:t xml:space="preserve">Wendy Tietz: </w:t>
      </w:r>
      <w:hyperlink r:id="rId6" w:history="1">
        <w:r>
          <w:rPr>
            <w:rStyle w:val="Hyperlink"/>
          </w:rPr>
          <w:t>wtietz@gmail.com</w:t>
        </w:r>
      </w:hyperlink>
    </w:p>
    <w:p w14:paraId="39FBB88C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rPr>
          <w:b/>
          <w:bCs/>
        </w:rPr>
        <w:t xml:space="preserve">Tracie Miller: </w:t>
      </w:r>
      <w:hyperlink r:id="rId7" w:history="1">
        <w:r>
          <w:rPr>
            <w:rStyle w:val="Hyperlink"/>
          </w:rPr>
          <w:t>traciemillercpa@gmail.com</w:t>
        </w:r>
      </w:hyperlink>
    </w:p>
    <w:p w14:paraId="08E39D7E" w14:textId="77777777" w:rsidR="00F6794C" w:rsidRDefault="00F6794C" w:rsidP="00F6794C">
      <w:pPr>
        <w:pStyle w:val="ListParagraph"/>
        <w:numPr>
          <w:ilvl w:val="0"/>
          <w:numId w:val="1"/>
        </w:numPr>
        <w:spacing w:after="80" w:line="252" w:lineRule="auto"/>
        <w:contextualSpacing w:val="0"/>
      </w:pPr>
      <w:r>
        <w:rPr>
          <w:b/>
          <w:bCs/>
        </w:rPr>
        <w:t xml:space="preserve">Networking Padlet: </w:t>
      </w:r>
      <w:hyperlink r:id="rId8" w:history="1">
        <w:r>
          <w:rPr>
            <w:rStyle w:val="Hyperlink"/>
          </w:rPr>
          <w:t>https://padlet.com/wtietz/networking-for-textbook-authors-4ztdvhg1svvd4kyp</w:t>
        </w:r>
      </w:hyperlink>
    </w:p>
    <w:p w14:paraId="3AC6BBC5" w14:textId="77777777" w:rsidR="006420D7" w:rsidRDefault="006420D7"/>
    <w:sectPr w:rsidR="006420D7" w:rsidSect="00F6794C">
      <w:headerReference w:type="default" r:id="rId9"/>
      <w:footerReference w:type="default" r:id="rId10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D9EE" w14:textId="77777777" w:rsidR="00F6794C" w:rsidRDefault="00F6794C">
    <w:pPr>
      <w:pBdr>
        <w:top w:val="single" w:sz="4" w:space="4" w:color="D9D9D9"/>
      </w:pBdr>
      <w:jc w:val="center"/>
    </w:pPr>
    <w:r>
      <w:rPr>
        <w:color w:val="595959"/>
        <w:sz w:val="16"/>
        <w:szCs w:val="16"/>
      </w:rPr>
      <w:t xml:space="preserve">Wendy Tietz &amp; Tracie Miller  •  taaonline.net  •  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9AF4" w14:textId="77777777" w:rsidR="00F6794C" w:rsidRDefault="00F6794C">
    <w:pPr>
      <w:pBdr>
        <w:bottom w:val="single" w:sz="4" w:space="4" w:color="D9D9D9"/>
      </w:pBdr>
    </w:pPr>
    <w:r>
      <w:rPr>
        <w:color w:val="595959"/>
        <w:sz w:val="16"/>
        <w:szCs w:val="16"/>
      </w:rPr>
      <w:t>Pulling Back the Curtain  •  2026 TAA Institute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0B69"/>
    <w:multiLevelType w:val="hybridMultilevel"/>
    <w:tmpl w:val="FD9AC314"/>
    <w:lvl w:ilvl="0" w:tplc="64B29AA0">
      <w:start w:val="1"/>
      <w:numFmt w:val="bullet"/>
      <w:lvlText w:val="•"/>
      <w:lvlJc w:val="left"/>
      <w:pPr>
        <w:ind w:left="460" w:hanging="260"/>
      </w:pPr>
    </w:lvl>
    <w:lvl w:ilvl="1" w:tplc="83249C78">
      <w:start w:val="1"/>
      <w:numFmt w:val="bullet"/>
      <w:lvlText w:val="◦"/>
      <w:lvlJc w:val="left"/>
      <w:pPr>
        <w:ind w:left="900" w:hanging="260"/>
      </w:pPr>
    </w:lvl>
    <w:lvl w:ilvl="2" w:tplc="2A66153E">
      <w:numFmt w:val="decimal"/>
      <w:lvlText w:val=""/>
      <w:lvlJc w:val="left"/>
    </w:lvl>
    <w:lvl w:ilvl="3" w:tplc="40406670">
      <w:numFmt w:val="decimal"/>
      <w:lvlText w:val=""/>
      <w:lvlJc w:val="left"/>
    </w:lvl>
    <w:lvl w:ilvl="4" w:tplc="5636F054">
      <w:numFmt w:val="decimal"/>
      <w:lvlText w:val=""/>
      <w:lvlJc w:val="left"/>
    </w:lvl>
    <w:lvl w:ilvl="5" w:tplc="6B82F9DA">
      <w:numFmt w:val="decimal"/>
      <w:lvlText w:val=""/>
      <w:lvlJc w:val="left"/>
    </w:lvl>
    <w:lvl w:ilvl="6" w:tplc="B3425AD6">
      <w:numFmt w:val="decimal"/>
      <w:lvlText w:val=""/>
      <w:lvlJc w:val="left"/>
    </w:lvl>
    <w:lvl w:ilvl="7" w:tplc="259888CE">
      <w:numFmt w:val="decimal"/>
      <w:lvlText w:val=""/>
      <w:lvlJc w:val="left"/>
    </w:lvl>
    <w:lvl w:ilvl="8" w:tplc="CEE2553E">
      <w:numFmt w:val="decimal"/>
      <w:lvlText w:val=""/>
      <w:lvlJc w:val="left"/>
    </w:lvl>
  </w:abstractNum>
  <w:num w:numId="1" w16cid:durableId="21071871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76"/>
    <w:rsid w:val="001D2676"/>
    <w:rsid w:val="0053077E"/>
    <w:rsid w:val="0054371B"/>
    <w:rsid w:val="005873D8"/>
    <w:rsid w:val="006420D7"/>
    <w:rsid w:val="00C80AE0"/>
    <w:rsid w:val="00F6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E8C0"/>
  <w15:chartTrackingRefBased/>
  <w15:docId w15:val="{B736887A-7B13-4328-A513-F3134541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4C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6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6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67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D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6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679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wtietz/networking-for-textbook-authors-4ztdvhg1svvd4ky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ciemillercp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tietz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dlet.com/wtietz/networking-for-textbook-authors-4ztdvhg1svvd4kyp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Tietz, Wendy</dc:creator>
  <cp:keywords/>
  <dc:description/>
  <cp:lastModifiedBy>Tietz, Wendy</cp:lastModifiedBy>
  <cp:revision>4</cp:revision>
  <dcterms:created xsi:type="dcterms:W3CDTF">2026-06-05T14:12:00Z</dcterms:created>
  <dcterms:modified xsi:type="dcterms:W3CDTF">2026-06-05T14:14:00Z</dcterms:modified>
</cp:coreProperties>
</file>